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Índice e organização do PIE</w:t>
      </w:r>
    </w:p>
    <w:p>
      <w:pPr>
        <w:pStyle w:val="Subtitle"/>
      </w:pPr>
      <w:r>
        <w:t>MODELO NÃO OFICIAL • PREENCHIMENTO E VALIDAÇÃO OBRIGATÓRIOS</w:t>
      </w:r>
    </w:p>
    <w:p>
      <w:r>
        <w:t>Base normativa: NR10, redação vigente em 27/10/2026, item 10.2.4; 10.2.5; 10.2.5.1; 10.2.6 e 10.2.7.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Prontuário organizado e atualizado pelo empregador ou designado; documentos técnicos elaborados por profissional legalmente habilitado. Também obrigatório no SEP e na proximidade, com conteúdos próprios.</w:t>
      </w:r>
    </w:p>
    <w:p>
      <w:r>
        <w:t>Critério de atualização: Manter atualizado e acessível aos trabalhadores envolvidos.</w:t>
      </w:r>
    </w:p>
    <w:p>
      <w:pPr>
        <w:pStyle w:val="Heading1"/>
      </w:pPr>
      <w:r>
        <w:t>Registro a preencher</w:t>
      </w:r>
    </w:p>
    <w:p>
      <w:pPr>
        <w:pStyle w:val="Heading2"/>
      </w:pPr>
      <w:r>
        <w:t>Empregador e local</w:t>
      </w:r>
    </w:p>
    <w:p>
      <w:r>
        <w:t>[Preencher com informações reais e identificar as evidências anexas. Quando não aplicável, justificar tecnicamente.]</w:t>
      </w:r>
    </w:p>
    <w:p>
      <w:pPr>
        <w:pStyle w:val="Heading2"/>
      </w:pPr>
      <w:r>
        <w:t>Carga instalada e enquadramento SEP/proximidade</w:t>
      </w:r>
    </w:p>
    <w:p>
      <w:r>
        <w:t>[Preencher com informações reais e identificar as evidências anexas. Quando não aplicável, justificar tecnicamente.]</w:t>
      </w:r>
    </w:p>
    <w:p>
      <w:pPr>
        <w:pStyle w:val="Heading2"/>
      </w:pPr>
      <w:r>
        <w:t>Designação do responsável pela organização</w:t>
      </w:r>
    </w:p>
    <w:p>
      <w:r>
        <w:t>[Preencher com informações reais e identificar as evidências anexas. Quando não aplicável, justificar tecnicamente.]</w:t>
      </w:r>
    </w:p>
    <w:p>
      <w:pPr>
        <w:pStyle w:val="Heading2"/>
      </w:pPr>
      <w:r>
        <w:t>Índice dos documentos e revisões</w:t>
      </w:r>
    </w:p>
    <w:p>
      <w:r>
        <w:t>[Preencher com informações reais e identificar as evidências anexas. Quando não aplicável, justificar tecnicamente.]</w:t>
      </w:r>
    </w:p>
    <w:p>
      <w:pPr>
        <w:pStyle w:val="Heading2"/>
      </w:pPr>
      <w:r>
        <w:t>Profissionais responsáveis pelos documentos técnicos</w:t>
      </w:r>
    </w:p>
    <w:p>
      <w:r>
        <w:t>[Preencher com informações reais e identificar as evidências anexas. Quando não aplicável, justificar tecnicamente.]</w:t>
      </w:r>
    </w:p>
    <w:p>
      <w:pPr>
        <w:pStyle w:val="Heading2"/>
      </w:pPr>
      <w:r>
        <w:t>Local de guarda e disponibilidade</w:t>
      </w:r>
    </w:p>
    <w:p>
      <w:r>
        <w:t>[Preencher com informações reais e identificar as evidências anexas. Quando não aplicável, justificar tecnicamente.]</w:t>
      </w:r>
    </w:p>
    <w:p>
      <w:pPr>
        <w:pStyle w:val="Heading2"/>
      </w:pPr>
      <w:r>
        <w:t>Pendências e controle de atualização</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